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Komunikat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– działający w ramach Koalicji na Rzecz Polskiego Drewna, która reprezentuje przemysły odpowiadające łącznie za ok. 5% polskiego PKB i zatrudniające setki tysięcy pracowników – apelują o natychmiastowe wstrzymanie procesu do czasu opracowania standardów zgodnych z prawem, wiedzą naukową oraz wytycznymi Komisji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definicji, kryteriów i profesjonalnej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wskazują, że obecna procedura opiera się wyłącznie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formularzu i kilku amatorskich zdjęciach</w:t>
      </w:r>
      <w:r>
        <w:rPr>
          <w:rFonts w:ascii="calibri" w:hAnsi="calibri" w:eastAsia="calibri" w:cs="calibri"/>
          <w:sz w:val="24"/>
          <w:szCs w:val="24"/>
        </w:rPr>
        <w:t xml:space="preserve">, które może przesłać dowolna osoba – bez wymogu wiedzy fachowej czy oceny eksperckiej. W piśmie do Premiera podkreślono, że proces całkowicie pomija: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weryfikację zgodności zgłoszeń z </w:t>
      </w:r>
      <w:r>
        <w:rPr>
          <w:rFonts w:ascii="calibri" w:hAnsi="calibri" w:eastAsia="calibri" w:cs="calibri"/>
          <w:sz w:val="24"/>
          <w:szCs w:val="24"/>
          <w:b/>
        </w:rPr>
        <w:t xml:space="preserve">definicją starolasów Komisji Europejskiej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badania terenowe i analizę historii użytkowania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specjalistów z zakresu leśnictwa, ekologii lasu czy gospodarki przestrzennej.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jak ostrzegają organizacje – zgłaszane mogą być obszary,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spełniają naukowych kryteriów starolasów</w:t>
      </w:r>
      <w:r>
        <w:rPr>
          <w:rFonts w:ascii="calibri" w:hAnsi="calibri" w:eastAsia="calibri" w:cs="calibri"/>
          <w:sz w:val="24"/>
          <w:szCs w:val="24"/>
        </w:rPr>
        <w:t xml:space="preserve">, ponieważ większość lasów w Polsce to lasy gospodarcze, gdzie działalność człowieka w oczywisty sposób kształtowała strukturę drzewostanów.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dla gospodarki i bezpieczeństwa surowcowego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branży wdrożona procedura rodzi poważne ryzyko niegospodarnego zarządzania majątkiem publicznym. Chaotyczne zgłoszenia – bez merytorycznej selekcji i analizy skutków – mogą prowadzić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nieuzasadnionego wyłączania obszarów z użytkowania,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pogłębienia deficytu surowca drzewnego,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dalszego wzrostu cen drewna,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destabilizacji rynku oraz utraty miejsc pracy w powiązanych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zwraca uwagę, że przy jednoczesnym planie objęcia ochroną 1% lasów w 2026 r. i 2% w 2027 r., skala negatywnych skutków może być ogromna, jeśli procedura nadal będzie oparta na zgłoszeniach społecznych bez nadzoru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Pominięcie wiedzy specjalistycznej i obowiązujących procedur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listu alarmują, że zgłoszenia obejmują również obszary zupełnie niekwalifikujące się do statusu starolasów – młodniki, lasy gospodarcze, a nawet tereny po zniszczeniach huraganowych. Brak systemu eksperckiej oceny sprawia, że proces ten może stworzyć równoległy, pozaprawny obieg decyzyjny, omijający obowiązujące procedury planistyczne i konsultacyjne.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podkreślono także, że w dobie dynamicznych zmian klimatycznych obszary mające zostać objęte ochroną powinny spełniać precyzyjne, naukowe kryteria zdrowotności i zgodności siedliskowej – których oceny nie da się dokonać na podstawie zdjęcia przesłanego przez anonimowego internautę.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Pominięte kwestie bezpieczeństwa – ryzyko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alarmujących zastrzeżeń jest całkowite pominięcie w procedurze oceny zwiększonego ryzyka pożarowego. Stare drzewostany zawierają większą ilość martwej biomasy i specyficzne struktury, które mogą sprzyjać rozprzestrzenianiu się ognia.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zaznaczono jednoznacznie: „Ochrona przyrody nie może odbywać się kosztem bezpieczeństwa publicznego.” Branża oczekuje, że ocena zagrożenia pożarowego stanie się elementem obligatoryjnym w procesie wyznaczania starolasów.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Postulat: wstrzymać procedurę i opracować profesjonalne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apeluje do Prezesa Rady Ministrów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zawieszenie obecnej procedury wyznaczania starolasów,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zobowiązanie Ministerstwa Klimatu i Środowiska do stworzenia transparentnych,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eksperckich, opartych na dowodach naukowych kryteriów,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zapewnienie, aby proces był zgodny z prawem, wytycznymi KE i zasadami zrównoważonej gospodarki leśnej,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przywrócenie całemu przedsięwzięciu rangi i wiarygodności, której wymaga ochrona zasobów przyrodniczych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zwracają również uwagę na wątpliwości dotyczące gospodarności i efektywności wydatkowania środków publicznych, a także ryzyka wprowadzania społeczeństwa w błąd poprzez uproszczone, nieprofesjonalne zaangażowanie obywateli w procesy decyzyjne.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Sygnatariusze listu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podpisali przedstawiciele Koalicji na Rzecz Polskiego Drewna: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Jędrzej Kasprzak</w:t>
      </w:r>
      <w:r>
        <w:rPr>
          <w:rFonts w:ascii="calibri" w:hAnsi="calibri" w:eastAsia="calibri" w:cs="calibri"/>
          <w:sz w:val="24"/>
          <w:szCs w:val="24"/>
        </w:rPr>
        <w:t xml:space="preserve">, Prezydent Stowarzyszenia Producentów Płyt Drewnopochodnych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Majewski</w:t>
      </w:r>
      <w:r>
        <w:rPr>
          <w:rFonts w:ascii="calibri" w:hAnsi="calibri" w:eastAsia="calibri" w:cs="calibri"/>
          <w:sz w:val="24"/>
          <w:szCs w:val="24"/>
        </w:rPr>
        <w:t xml:space="preserve">, Pełnomocnik Stowarzyszenia Papierników Polskich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Szynaka</w:t>
      </w:r>
      <w:r>
        <w:rPr>
          <w:rFonts w:ascii="calibri" w:hAnsi="calibri" w:eastAsia="calibri" w:cs="calibri"/>
          <w:sz w:val="24"/>
          <w:szCs w:val="24"/>
        </w:rPr>
        <w:t xml:space="preserve">, Prezes Ogólnopolskiej Izby Gospodarczej Producentów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2026-01-22T06:21:41+01:00</dcterms:created>
  <dcterms:modified xsi:type="dcterms:W3CDTF">2026-01-22T06:21:41+01:00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