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Przemysł drzewny apeluje do Premiera o wstrzymanie procedury wyznaczania starolasów. Organizacje branżowe wskazują na liczne błędy, ryzyka i brak zgodności z wytycznymi Komisji Europejskiej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Organizacje reprezentujące kluczowe sektory polskiego przemysłu drzewnego – Stowarzyszenie Producentów Płyt Drewnopochodnych w Polsce, Stowarzyszenie Papierników Polskich oraz Ogólnopolska Izba Gospodarcza Producentów Mebli – wystosowały 20 listopada wspólny list do Premiera Donalda Tuska, wyrażając głębokie zaniepokojenie i sprzeciw wobec procedury tzw. „społecznego wyznaczania starolasów”, uruchomionej przez Ministerstwo Klimatu i Środowiska.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Komunikat prasowy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Przemysł drzewny apeluje do Premiera o wstrzymanie procedury wyznaczania starolasów. Organizacje branżowe wskazują na liczne błędy, ryzyka i brak zgodności z wytycznymi Komisji Europejskiej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Organizacje reprezentujące kluczowe sektory polskiego przemysłu drzewnego – Stowarzyszenie Producentów Płyt Drewnopochodnych w Polsce, Stowarzyszenie Papierników Polskich oraz Ogólnopolska Izba Gospodarcza Producentów Mebli – wystosowały 20 listopada wspólny list do Premiera Donalda Tuska, wyrażając głębokie zaniepokojenie i sprzeciw wobec procedury tzw. „społecznego wyznaczania starolasów”, uruchomionej przez Ministerstwo Klimatu i Środowiska.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Sygnatariusze – działający w ramach Koalicji na Rzecz Polskiego Drewna, która reprezentuje przemysły odpowiadające łącznie za ok. 5% polskiego PKB i zatrudniające setki tysięcy pracowników – apelują o natychmiastowe wstrzymanie procesu do czasu opracowania standardów zgodnych z prawem, wiedzą naukową oraz wytycznymi Komisji Europejskiej.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Brak definicji, kryteriów i profesjonalnej weryfikacji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Organizacje wskazują, że obecna procedura opiera się wyłącznie na </w:t>
      </w:r>
      <w:r>
        <w:rPr>
          <w:rFonts w:ascii="calibri" w:hAnsi="calibri" w:eastAsia="calibri" w:cs="calibri"/>
          <w:sz w:val="24"/>
          <w:szCs w:val="24"/>
          <w:b/>
        </w:rPr>
        <w:t xml:space="preserve">internetowym formularzu i kilku amatorskich zdjęciach</w:t>
      </w:r>
      <w:r>
        <w:rPr>
          <w:rFonts w:ascii="calibri" w:hAnsi="calibri" w:eastAsia="calibri" w:cs="calibri"/>
          <w:sz w:val="24"/>
          <w:szCs w:val="24"/>
        </w:rPr>
        <w:t xml:space="preserve">, które może przesłać dowolna osoba – bez wymogu wiedzy fachowej czy oceny eksperckiej. W piśmie do Premiera podkreślono, że proces całkowicie pomija: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weryfikację zgodności zgłoszeń z </w:t>
      </w:r>
      <w:r>
        <w:rPr>
          <w:rFonts w:ascii="calibri" w:hAnsi="calibri" w:eastAsia="calibri" w:cs="calibri"/>
          <w:sz w:val="24"/>
          <w:szCs w:val="24"/>
          <w:b/>
        </w:rPr>
        <w:t xml:space="preserve">definicją starolasów Komisji Europejskiej</w:t>
      </w:r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badania terenowe i analizę historii użytkowania lasu,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udział specjalistów z zakresu leśnictwa, ekologii lasu czy gospodarki przestrzennej.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efekcie – jak ostrzegają organizacje – zgłaszane mogą być obszary, które </w:t>
      </w:r>
      <w:r>
        <w:rPr>
          <w:rFonts w:ascii="calibri" w:hAnsi="calibri" w:eastAsia="calibri" w:cs="calibri"/>
          <w:sz w:val="24"/>
          <w:szCs w:val="24"/>
          <w:b/>
        </w:rPr>
        <w:t xml:space="preserve">nie spełniają naukowych kryteriów starolasów</w:t>
      </w:r>
      <w:r>
        <w:rPr>
          <w:rFonts w:ascii="calibri" w:hAnsi="calibri" w:eastAsia="calibri" w:cs="calibri"/>
          <w:sz w:val="24"/>
          <w:szCs w:val="24"/>
        </w:rPr>
        <w:t xml:space="preserve">, ponieważ większość lasów w Polsce to lasy gospodarcze, gdzie działalność człowieka w oczywisty sposób kształtowała strukturę drzewostanów.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Ryzyko dla gospodarki i bezpieczeństwa surowcowego państwa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branży wdrożona procedura rodzi poważne ryzyko niegospodarnego zarządzania majątkiem publicznym. Chaotyczne zgłoszenia – bez merytorycznej selekcji i analizy skutków – mogą prowadzić do: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nieuzasadnionego wyłączania obszarów z użytkowania,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pogłębienia deficytu surowca drzewnego,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dalszego wzrostu cen drewna,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destabilizacji rynku oraz utraty miejsc pracy w powiązanych branżach.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Branża zwraca uwagę, że przy jednoczesnym planie objęcia ochroną 1% lasów w 2026 r. i 2% w 2027 r., skala negatywnych skutków może być ogromna, jeśli procedura nadal będzie oparta na zgłoszeniach społecznych bez nadzoru ekspertów.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Pominięcie wiedzy specjalistycznej i obowiązujących procedur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Sygnatariusze listu alarmują, że zgłoszenia obejmują również obszary zupełnie niekwalifikujące się do statusu starolasów – młodniki, lasy gospodarcze, a nawet tereny po zniszczeniach huraganowych. Brak systemu eksperckiej oceny sprawia, że proces ten może stworzyć równoległy, pozaprawny obieg decyzyjny, omijający obowiązujące procedury planistyczne i konsultacyjne.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liście podkreślono także, że w dobie dynamicznych zmian klimatycznych obszary mające zostać objęte ochroną powinny spełniać precyzyjne, naukowe kryteria zdrowotności i zgodności siedliskowej – których oceny nie da się dokonać na podstawie zdjęcia przesłanego przez anonimowego internautę.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Pominięte kwestie bezpieczeństwa – ryzyko pożarowe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najbardziej alarmujących zastrzeżeń jest całkowite pominięcie w procedurze oceny zwiększonego ryzyka pożarowego. Stare drzewostany zawierają większą ilość martwej biomasy i specyficzne struktury, które mogą sprzyjać rozprzestrzenianiu się ognia.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piśmie zaznaczono jednoznacznie: „Ochrona przyrody nie może odbywać się kosztem bezpieczeństwa publicznego.” Branża oczekuje, że ocena zagrożenia pożarowego stanie się elementem obligatoryjnym w procesie wyznaczania starolasów.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Postulat: wstrzymać procedurę i opracować profesjonalne standardy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Koalicja apeluje do Prezesa Rady Ministrów 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zawieszenie obecnej procedury wyznaczania starolasów,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zobowiązanie Ministerstwa Klimatu i Środowiska do stworzenia transparentnych,</w:t>
      </w:r>
    </w:p>
    <w:p>
      <w:r>
        <w:rPr>
          <w:rFonts w:ascii="calibri" w:hAnsi="calibri" w:eastAsia="calibri" w:cs="calibri"/>
          <w:sz w:val="24"/>
          <w:szCs w:val="24"/>
        </w:rPr>
        <w:t xml:space="preserve"> eksperckich, opartych na dowodach naukowych kryteriów,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zapewnienie, aby proces był zgodny z prawem, wytycznymi KE i zasadami zrównoważonej gospodarki leśnej,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przywrócenie całemu przedsięwzięciu rangi i wiarygodności, której wymaga ochrona zasobów przyrodniczych państwa.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Organizacje zwracają również uwagę na wątpliwości dotyczące gospodarności i efektywności wydatkowania środków publicznych, a także ryzyka wprowadzania społeczeństwa w błąd poprzez uproszczone, nieprofesjonalne zaangażowanie obywateli w procesy decyzyjne.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Sygnatariusze listu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 podpisali przedstawiciele Koalicji na Rzecz Polskiego Drewna: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Jędrzej Kasprzak</w:t>
      </w:r>
      <w:r>
        <w:rPr>
          <w:rFonts w:ascii="calibri" w:hAnsi="calibri" w:eastAsia="calibri" w:cs="calibri"/>
          <w:sz w:val="24"/>
          <w:szCs w:val="24"/>
        </w:rPr>
        <w:t xml:space="preserve">, Prezydent Stowarzyszenia Producentów Płyt Drewnopochodnych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Jerzy Majewski</w:t>
      </w:r>
      <w:r>
        <w:rPr>
          <w:rFonts w:ascii="calibri" w:hAnsi="calibri" w:eastAsia="calibri" w:cs="calibri"/>
          <w:sz w:val="24"/>
          <w:szCs w:val="24"/>
        </w:rPr>
        <w:t xml:space="preserve">, Pełnomocnik Stowarzyszenia Papierników Polskich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Jan Szynaka</w:t>
      </w:r>
      <w:r>
        <w:rPr>
          <w:rFonts w:ascii="calibri" w:hAnsi="calibri" w:eastAsia="calibri" w:cs="calibri"/>
          <w:sz w:val="24"/>
          <w:szCs w:val="24"/>
        </w:rPr>
        <w:t xml:space="preserve">, Prezes Ogólnopolskiej Izby Gospodarczej Producentów Mebli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Informacje o Koalicji na Rzecz Polskiego Drewna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Koalicja na Rzecz Polskiego Drewna to inicjatywa stowarzyszeń i firm reprezentujących przemysł: meblarski, płytowy, papierniczy i tartaczny. Promujemy drewno jako materiał najbardziej przyjazny człowiekowi, naturalny, odnawialny, podlegający recyklingowi. Przeciwdziałamy spalaniu drewna przez energetykę zawodową. Dążymy do wprowadzenia klasyfikacji odpadów drzewnych.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Koalicja na Rzecz Polskiego Drewna w liczbach: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ok. 5% polskiego PKB (cały przemysł drzewny ok. 6% polskiego PKB),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ok. 350 000 osób bezpośrednio zatrudnionych w firmach (cały przemysł drzewny ok. 450 000 osób zatrudnionych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w firmach),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- 2 eksporter i 6 producent mebli na świecie,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- 2 miejsce w Europie i 7 miejsce na świecie pod względem produkcji płyt drewnopochodnych,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- 7 producent i 8 eksporter Europie w branży papierniczej,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- 1 eksporter w Europie w zakresie podłóg,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- 2 miejsce w Europie w zakresie eksportu jako branża drzewna ogółem,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zakupy drewna w lasach państwowych przez podmioty reprezentowane przez Koalicję na Rzecz Polskiego Drewna - ok. 12 mln m3.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2026-08-20T16:53:24+02:00</dcterms:created>
  <dcterms:modified xsi:type="dcterms:W3CDTF">2026-08-20T16:53:24+02:00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